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57B78" w14:textId="77777777" w:rsidR="00E955A5" w:rsidRDefault="00E955A5">
      <w:pPr>
        <w:spacing w:before="160"/>
      </w:pPr>
    </w:p>
    <w:p w14:paraId="4BBE7586" w14:textId="77777777" w:rsidR="00E955A5" w:rsidRDefault="002F2019">
      <w:pPr>
        <w:spacing w:after="60"/>
      </w:pPr>
      <w:r>
        <w:rPr>
          <w:b/>
          <w:bCs/>
          <w:color w:val="1F4E79"/>
          <w:sz w:val="52"/>
          <w:szCs w:val="52"/>
        </w:rPr>
        <w:t>Annual Infection Prevention</w:t>
      </w:r>
    </w:p>
    <w:p w14:paraId="64AF61BB" w14:textId="77777777" w:rsidR="00E955A5" w:rsidRDefault="002F2019">
      <w:pPr>
        <w:spacing w:after="60"/>
      </w:pPr>
      <w:r>
        <w:rPr>
          <w:b/>
          <w:bCs/>
          <w:color w:val="1F4E79"/>
          <w:sz w:val="52"/>
          <w:szCs w:val="52"/>
        </w:rPr>
        <w:t>&amp; Control Statement</w:t>
      </w:r>
    </w:p>
    <w:p w14:paraId="5BFA148A" w14:textId="77777777" w:rsidR="00E955A5" w:rsidRDefault="002F2019">
      <w:pPr>
        <w:pStyle w:val="Heading1"/>
      </w:pPr>
      <w:r>
        <w:t>Statement</w:t>
      </w:r>
    </w:p>
    <w:p w14:paraId="23F2D424" w14:textId="77777777" w:rsidR="00E955A5" w:rsidRDefault="002F2019">
      <w:pPr>
        <w:spacing w:before="80" w:after="80"/>
      </w:pPr>
      <w:r>
        <w:rPr>
          <w:color w:val="000000"/>
        </w:rPr>
        <w:t>This statement provides an overview of:</w:t>
      </w:r>
    </w:p>
    <w:p w14:paraId="35C13E7F" w14:textId="77777777" w:rsidR="00E955A5" w:rsidRDefault="002F2019">
      <w:pPr>
        <w:pStyle w:val="ListParagraph"/>
        <w:numPr>
          <w:ilvl w:val="0"/>
          <w:numId w:val="2"/>
        </w:numPr>
        <w:spacing w:before="40" w:after="40"/>
      </w:pPr>
      <w:r>
        <w:t>Any infection transmission incidents and any actions taken (reported in accordance with the Significant Event Procedure)</w:t>
      </w:r>
    </w:p>
    <w:p w14:paraId="51876AAC" w14:textId="77777777" w:rsidR="00E955A5" w:rsidRDefault="002F2019">
      <w:pPr>
        <w:pStyle w:val="ListParagraph"/>
        <w:numPr>
          <w:ilvl w:val="0"/>
          <w:numId w:val="2"/>
        </w:numPr>
        <w:spacing w:before="40" w:after="40"/>
      </w:pPr>
      <w:r>
        <w:t>Details of infection prevention and control audits undertaken, and actions taken or planned</w:t>
      </w:r>
    </w:p>
    <w:p w14:paraId="53142ED6" w14:textId="77777777" w:rsidR="00E955A5" w:rsidRDefault="002F2019">
      <w:pPr>
        <w:pStyle w:val="ListParagraph"/>
        <w:numPr>
          <w:ilvl w:val="0"/>
          <w:numId w:val="2"/>
        </w:numPr>
        <w:spacing w:before="40" w:after="40"/>
      </w:pPr>
      <w:r>
        <w:t>Details of risk assessments undertaken for the prevention and control of infection</w:t>
      </w:r>
    </w:p>
    <w:p w14:paraId="4855A63A" w14:textId="77777777" w:rsidR="00E955A5" w:rsidRDefault="002F2019">
      <w:pPr>
        <w:pStyle w:val="ListParagraph"/>
        <w:numPr>
          <w:ilvl w:val="0"/>
          <w:numId w:val="2"/>
        </w:numPr>
        <w:spacing w:before="40" w:after="40"/>
      </w:pPr>
      <w:r>
        <w:t>Details of staff training</w:t>
      </w:r>
    </w:p>
    <w:p w14:paraId="18D6DAC9" w14:textId="77777777" w:rsidR="00E955A5" w:rsidRDefault="002F2019">
      <w:pPr>
        <w:pStyle w:val="ListParagraph"/>
        <w:numPr>
          <w:ilvl w:val="0"/>
          <w:numId w:val="2"/>
        </w:numPr>
        <w:spacing w:before="40" w:after="40"/>
      </w:pPr>
      <w:r>
        <w:t>Review and update of policies, procedures and guidelines</w:t>
      </w:r>
    </w:p>
    <w:p w14:paraId="05941116" w14:textId="77777777" w:rsidR="00E955A5" w:rsidRDefault="002F2019">
      <w:pPr>
        <w:pStyle w:val="ListParagraph"/>
        <w:numPr>
          <w:ilvl w:val="0"/>
          <w:numId w:val="2"/>
        </w:numPr>
        <w:spacing w:before="40" w:after="40"/>
      </w:pPr>
      <w:r>
        <w:t>Antimicrobial prescribing and stewardship</w:t>
      </w:r>
    </w:p>
    <w:p w14:paraId="32545539" w14:textId="4D9B43AD" w:rsidR="00E955A5" w:rsidRDefault="002F2019" w:rsidP="002F2019">
      <w:pPr>
        <w:pStyle w:val="ListParagraph"/>
        <w:numPr>
          <w:ilvl w:val="0"/>
          <w:numId w:val="2"/>
        </w:numPr>
        <w:spacing w:before="40" w:after="40"/>
      </w:pPr>
      <w:r>
        <w:t>Quality improvement plan and future actions</w:t>
      </w:r>
    </w:p>
    <w:p w14:paraId="68562C25" w14:textId="77777777" w:rsidR="00E955A5" w:rsidRDefault="002F2019">
      <w:pPr>
        <w:pStyle w:val="Heading1"/>
      </w:pPr>
      <w:r>
        <w:t>I</w:t>
      </w:r>
      <w:r>
        <w:t>nfection Prevention &amp; Control Leads</w:t>
      </w:r>
    </w:p>
    <w:p w14:paraId="4CE8695F" w14:textId="77777777" w:rsidR="00E955A5" w:rsidRDefault="002F2019">
      <w:pPr>
        <w:spacing w:before="80" w:after="80"/>
      </w:pPr>
      <w:r>
        <w:rPr>
          <w:color w:val="000000"/>
        </w:rPr>
        <w:t>The IPC Lead for Barlow Medical Centre is Sister Nicola Morgan, supported by Carol Harrison (Deputy IPC Lead). The Practice Manager is Jacqueline Stewart-Martin.</w:t>
      </w:r>
    </w:p>
    <w:p w14:paraId="0B1F4ADD" w14:textId="77777777" w:rsidR="00E955A5" w:rsidRDefault="00E955A5">
      <w:pPr>
        <w:spacing w:before="80"/>
      </w:pPr>
    </w:p>
    <w:p w14:paraId="4A87C299" w14:textId="77777777" w:rsidR="00E955A5" w:rsidRDefault="002F2019">
      <w:pPr>
        <w:spacing w:before="80" w:after="80"/>
      </w:pPr>
      <w:r>
        <w:rPr>
          <w:color w:val="000000"/>
        </w:rPr>
        <w:t>The IPC Lead team have the following duties and responsibilities within the practice:</w:t>
      </w:r>
    </w:p>
    <w:p w14:paraId="554137E7" w14:textId="77777777" w:rsidR="00E955A5" w:rsidRDefault="002F2019">
      <w:pPr>
        <w:pStyle w:val="ListParagraph"/>
        <w:numPr>
          <w:ilvl w:val="0"/>
          <w:numId w:val="2"/>
        </w:numPr>
        <w:spacing w:before="40" w:after="40"/>
      </w:pPr>
      <w:r>
        <w:t>Keeping up to date with changes in infection prevention and control guidance and legislation</w:t>
      </w:r>
    </w:p>
    <w:p w14:paraId="420A8E55" w14:textId="77777777" w:rsidR="00E955A5" w:rsidRDefault="002F2019">
      <w:pPr>
        <w:pStyle w:val="ListParagraph"/>
        <w:numPr>
          <w:ilvl w:val="0"/>
          <w:numId w:val="2"/>
        </w:numPr>
        <w:spacing w:before="40" w:after="40"/>
      </w:pPr>
      <w:r>
        <w:t>Ensuring appropriate use of personal protective equipment (PPE) by all staff</w:t>
      </w:r>
    </w:p>
    <w:p w14:paraId="2A031E8F" w14:textId="77777777" w:rsidR="00E955A5" w:rsidRDefault="002F2019">
      <w:pPr>
        <w:pStyle w:val="ListParagraph"/>
        <w:numPr>
          <w:ilvl w:val="0"/>
          <w:numId w:val="2"/>
        </w:numPr>
        <w:spacing w:before="40" w:after="40"/>
      </w:pPr>
      <w:r>
        <w:t>Conducting weekly environmental cleanliness walk-rounds</w:t>
      </w:r>
    </w:p>
    <w:p w14:paraId="54B818F5" w14:textId="705CD754" w:rsidR="00E955A5" w:rsidRDefault="002F2019">
      <w:pPr>
        <w:pStyle w:val="ListParagraph"/>
        <w:numPr>
          <w:ilvl w:val="0"/>
          <w:numId w:val="2"/>
        </w:numPr>
        <w:spacing w:before="40" w:after="40"/>
      </w:pPr>
      <w:r>
        <w:t xml:space="preserve">Performing IPC-related audits — including </w:t>
      </w:r>
      <w:r>
        <w:t xml:space="preserve">hand hygiene, </w:t>
      </w:r>
      <w:r>
        <w:t>PPE, and</w:t>
      </w:r>
      <w:r>
        <w:t xml:space="preserve"> IPC audits</w:t>
      </w:r>
    </w:p>
    <w:p w14:paraId="35A25402" w14:textId="77777777" w:rsidR="00E955A5" w:rsidRDefault="002F2019">
      <w:pPr>
        <w:pStyle w:val="ListParagraph"/>
        <w:numPr>
          <w:ilvl w:val="0"/>
          <w:numId w:val="2"/>
        </w:numPr>
        <w:spacing w:before="40" w:after="40"/>
      </w:pPr>
      <w:r>
        <w:t>Reporting and reviewing any significant events or IPC-related incidents</w:t>
      </w:r>
    </w:p>
    <w:p w14:paraId="2F7DA4DF" w14:textId="77777777" w:rsidR="00E955A5" w:rsidRDefault="002F2019">
      <w:pPr>
        <w:pStyle w:val="ListParagraph"/>
        <w:numPr>
          <w:ilvl w:val="0"/>
          <w:numId w:val="2"/>
        </w:numPr>
        <w:spacing w:before="40" w:after="40"/>
      </w:pPr>
      <w:r>
        <w:t>Coordinating and delivering IPC training for all staff (induction and annual refresher)</w:t>
      </w:r>
    </w:p>
    <w:p w14:paraId="022AD82E" w14:textId="77777777" w:rsidR="00E955A5" w:rsidRDefault="002F2019">
      <w:pPr>
        <w:pStyle w:val="ListParagraph"/>
        <w:numPr>
          <w:ilvl w:val="0"/>
          <w:numId w:val="2"/>
        </w:numPr>
        <w:spacing w:before="40" w:after="40"/>
      </w:pPr>
      <w:r>
        <w:t>Maintaining the IPC risk register and ensuring action points are addressed</w:t>
      </w:r>
    </w:p>
    <w:p w14:paraId="40B41608" w14:textId="77777777" w:rsidR="00E955A5" w:rsidRDefault="002F2019">
      <w:pPr>
        <w:pStyle w:val="ListParagraph"/>
        <w:numPr>
          <w:ilvl w:val="0"/>
          <w:numId w:val="2"/>
        </w:numPr>
        <w:spacing w:before="40" w:after="40"/>
      </w:pPr>
      <w:r>
        <w:t>Liaising with the Greater Manchester ICB IPC Specialist Team and the Health Protection Team as required</w:t>
      </w:r>
    </w:p>
    <w:p w14:paraId="57BE0906" w14:textId="77777777" w:rsidR="00E955A5" w:rsidRDefault="002F2019">
      <w:pPr>
        <w:pStyle w:val="ListParagraph"/>
        <w:numPr>
          <w:ilvl w:val="0"/>
          <w:numId w:val="2"/>
        </w:numPr>
        <w:spacing w:before="40" w:after="40"/>
      </w:pPr>
      <w:r>
        <w:t>Producing the Annual IPC Statement and ensuring publication on the practice website</w:t>
      </w:r>
    </w:p>
    <w:p w14:paraId="306D0D0A" w14:textId="77777777" w:rsidR="00E955A5" w:rsidRDefault="00E955A5">
      <w:pPr>
        <w:spacing w:before="20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E955A5" w14:paraId="474B711A" w14:textId="77777777">
        <w:tblPrEx>
          <w:tblCellMar>
            <w:top w:w="0" w:type="dxa"/>
            <w:bottom w:w="0" w:type="dxa"/>
          </w:tblCellMar>
        </w:tblPrEx>
        <w:tc>
          <w:tcPr>
            <w:tcW w:w="9746" w:type="dxa"/>
            <w:tcBorders>
              <w:top w:val="none" w:sz="0" w:space="0" w:color="FFFFFF"/>
              <w:left w:val="none" w:sz="0" w:space="0" w:color="FFFFFF"/>
              <w:bottom w:val="none" w:sz="0" w:space="0" w:color="FFFFFF"/>
              <w:right w:val="none" w:sz="0" w:space="0" w:color="FFFFFF"/>
            </w:tcBorders>
            <w:shd w:val="clear" w:color="auto" w:fill="1F4E79"/>
            <w:tcMar>
              <w:top w:w="120" w:type="dxa"/>
              <w:left w:w="180" w:type="dxa"/>
              <w:bottom w:w="120" w:type="dxa"/>
              <w:right w:w="180" w:type="dxa"/>
            </w:tcMar>
          </w:tcPr>
          <w:p w14:paraId="6299F4A6" w14:textId="77777777" w:rsidR="00E955A5" w:rsidRDefault="002F2019">
            <w:r>
              <w:rPr>
                <w:b/>
                <w:bCs/>
                <w:color w:val="AACCEE"/>
                <w:sz w:val="22"/>
                <w:szCs w:val="22"/>
              </w:rPr>
              <w:t>a</w:t>
            </w:r>
            <w:r>
              <w:rPr>
                <w:b/>
                <w:bCs/>
                <w:color w:val="AACCEE"/>
                <w:sz w:val="22"/>
                <w:szCs w:val="22"/>
              </w:rPr>
              <w:t xml:space="preserve">.  </w:t>
            </w:r>
            <w:r>
              <w:rPr>
                <w:b/>
                <w:bCs/>
                <w:color w:val="FFFFFF"/>
                <w:sz w:val="22"/>
                <w:szCs w:val="22"/>
              </w:rPr>
              <w:t>Infection Transmission Incidents (Significant Events)</w:t>
            </w:r>
          </w:p>
        </w:tc>
      </w:tr>
    </w:tbl>
    <w:p w14:paraId="343EC265" w14:textId="77777777" w:rsidR="00E955A5" w:rsidRDefault="00E955A5">
      <w:pPr>
        <w:spacing w:before="120"/>
      </w:pPr>
    </w:p>
    <w:p w14:paraId="66B46F43" w14:textId="77777777" w:rsidR="00E955A5" w:rsidRDefault="002F2019">
      <w:pPr>
        <w:spacing w:before="80" w:after="80"/>
      </w:pPr>
      <w:r>
        <w:rPr>
          <w:color w:val="000000"/>
        </w:rPr>
        <w:t>Significant events (which may involve examples of near misses, good practice as well as challenging events) are investigated in detail to see what can be learned and what changes might lead to future improvements. All significant events are reviewed and discussed at monthly practice meetings and learning is cascaded to all relevant staff.</w:t>
      </w:r>
    </w:p>
    <w:p w14:paraId="331D3DA0" w14:textId="77777777" w:rsidR="00E955A5" w:rsidRDefault="00E955A5">
      <w:pPr>
        <w:spacing w:before="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E955A5" w14:paraId="12615906" w14:textId="77777777">
        <w:tblPrEx>
          <w:tblCellMar>
            <w:top w:w="0" w:type="dxa"/>
            <w:bottom w:w="0" w:type="dxa"/>
          </w:tblCellMar>
        </w:tblPrEx>
        <w:tc>
          <w:tcPr>
            <w:tcW w:w="9746" w:type="dxa"/>
            <w:tcBorders>
              <w:top w:val="none" w:sz="0" w:space="0" w:color="FFFFFF"/>
              <w:left w:val="none" w:sz="0" w:space="0" w:color="FFFFFF"/>
              <w:bottom w:val="none" w:sz="0" w:space="0" w:color="FFFFFF"/>
              <w:right w:val="none" w:sz="0" w:space="0" w:color="FFFFFF"/>
            </w:tcBorders>
            <w:shd w:val="clear" w:color="auto" w:fill="1F4E79"/>
            <w:tcMar>
              <w:top w:w="120" w:type="dxa"/>
              <w:left w:w="180" w:type="dxa"/>
              <w:bottom w:w="120" w:type="dxa"/>
              <w:right w:w="180" w:type="dxa"/>
            </w:tcMar>
          </w:tcPr>
          <w:p w14:paraId="258C4C8C" w14:textId="77777777" w:rsidR="00E955A5" w:rsidRDefault="002F2019">
            <w:r>
              <w:rPr>
                <w:b/>
                <w:bCs/>
                <w:color w:val="AACCEE"/>
                <w:sz w:val="22"/>
                <w:szCs w:val="22"/>
              </w:rPr>
              <w:t xml:space="preserve">b.  </w:t>
            </w:r>
            <w:r>
              <w:rPr>
                <w:b/>
                <w:bCs/>
                <w:color w:val="FFFFFF"/>
                <w:sz w:val="22"/>
                <w:szCs w:val="22"/>
              </w:rPr>
              <w:t>Infection Prevention Audits and Actions</w:t>
            </w:r>
          </w:p>
        </w:tc>
      </w:tr>
    </w:tbl>
    <w:p w14:paraId="3BA0FD91" w14:textId="77777777" w:rsidR="00E955A5" w:rsidRDefault="00E955A5">
      <w:pPr>
        <w:spacing w:before="120"/>
      </w:pPr>
    </w:p>
    <w:p w14:paraId="2A2C7AF8" w14:textId="77777777" w:rsidR="00E955A5" w:rsidRDefault="002F2019">
      <w:pPr>
        <w:spacing w:before="80" w:after="80"/>
        <w:rPr>
          <w:color w:val="000000"/>
        </w:rPr>
      </w:pPr>
      <w:r>
        <w:rPr>
          <w:color w:val="000000"/>
        </w:rPr>
        <w:t>The practice conducts a rolling programme of IPC audits in line with the IPC Handbook v1.8, NHS Cleaning Standards 2025, and the Health and Social Care Act 2008 Code of Practice. The following audits were conducted or established during the reporting period:</w:t>
      </w:r>
    </w:p>
    <w:p w14:paraId="36331E2F" w14:textId="77777777" w:rsidR="002F2019" w:rsidRDefault="002F2019" w:rsidP="002F2019">
      <w:pPr>
        <w:spacing w:before="80" w:after="80"/>
      </w:pPr>
      <w:r w:rsidRPr="002F2019">
        <w:t>Infection control audit of rooms and buildings (</w:t>
      </w:r>
      <w:r>
        <w:t>annually</w:t>
      </w:r>
      <w:r w:rsidRPr="002F2019">
        <w:t xml:space="preserve">) last completed: </w:t>
      </w:r>
      <w:r>
        <w:t>16/03/26.</w:t>
      </w:r>
      <w:r w:rsidRPr="002F2019">
        <w:t xml:space="preserve"> </w:t>
      </w:r>
    </w:p>
    <w:p w14:paraId="139B5866" w14:textId="77777777" w:rsidR="002F2019" w:rsidRDefault="002F2019" w:rsidP="002F2019">
      <w:pPr>
        <w:spacing w:before="80" w:after="80"/>
      </w:pPr>
      <w:r w:rsidRPr="002F2019">
        <w:t>Handwashing audit for all clinical and non-clinical staff (during April 202</w:t>
      </w:r>
      <w:r>
        <w:t>6</w:t>
      </w:r>
      <w:r w:rsidRPr="002F2019">
        <w:t>)</w:t>
      </w:r>
      <w:r>
        <w:t>.</w:t>
      </w:r>
      <w:r w:rsidRPr="002F2019">
        <w:t xml:space="preserve"> </w:t>
      </w:r>
    </w:p>
    <w:p w14:paraId="5764C56F" w14:textId="2E0FFEE3" w:rsidR="002F2019" w:rsidRDefault="002F2019" w:rsidP="002F2019">
      <w:pPr>
        <w:spacing w:before="80" w:after="80"/>
      </w:pPr>
      <w:bookmarkStart w:id="0" w:name="_Hlk228458958"/>
      <w:r w:rsidRPr="002F2019">
        <w:lastRenderedPageBreak/>
        <w:t xml:space="preserve">Vaccine storage audit (Annually) last updated: </w:t>
      </w:r>
      <w:r>
        <w:t>05/06/25</w:t>
      </w:r>
    </w:p>
    <w:p w14:paraId="533F7BC0" w14:textId="1ED6D24C" w:rsidR="002F2019" w:rsidRDefault="002F2019" w:rsidP="002F2019">
      <w:pPr>
        <w:spacing w:before="80" w:after="80"/>
      </w:pPr>
      <w:r w:rsidRPr="002F2019">
        <w:t xml:space="preserve">Sharps bin and waste </w:t>
      </w:r>
      <w:r>
        <w:t>audit</w:t>
      </w:r>
      <w:r w:rsidRPr="002F2019">
        <w:t xml:space="preserve"> (</w:t>
      </w:r>
      <w:r>
        <w:t>Annually</w:t>
      </w:r>
      <w:r w:rsidRPr="002F2019">
        <w:t xml:space="preserve">) last completed: </w:t>
      </w:r>
      <w:r>
        <w:t>05/06/26</w:t>
      </w:r>
    </w:p>
    <w:p w14:paraId="257D344C" w14:textId="7D7D2D4B" w:rsidR="002F2019" w:rsidRDefault="002F2019" w:rsidP="002F2019">
      <w:pPr>
        <w:spacing w:before="80" w:after="80"/>
      </w:pPr>
      <w:r w:rsidRPr="002F2019">
        <w:t xml:space="preserve">Vaccination stock audits (monthly) </w:t>
      </w:r>
      <w:r>
        <w:t>last completed: 05/06/26</w:t>
      </w:r>
    </w:p>
    <w:p w14:paraId="07764707" w14:textId="12DBB289" w:rsidR="00E955A5" w:rsidRDefault="002F2019" w:rsidP="002F2019">
      <w:pPr>
        <w:spacing w:before="80" w:after="80"/>
      </w:pPr>
      <w:r w:rsidRPr="002F2019">
        <w:t>Fridge temperature audits (monthly)</w:t>
      </w:r>
      <w:r>
        <w:t xml:space="preserve"> last completed: 05/06/26</w:t>
      </w:r>
    </w:p>
    <w:bookmarkEnd w:id="0"/>
    <w:p w14:paraId="0B7A1998" w14:textId="77777777" w:rsidR="00E955A5" w:rsidRDefault="00E955A5">
      <w:pPr>
        <w:spacing w:before="20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E955A5" w14:paraId="0BE095AA" w14:textId="77777777">
        <w:tblPrEx>
          <w:tblCellMar>
            <w:top w:w="0" w:type="dxa"/>
            <w:bottom w:w="0" w:type="dxa"/>
          </w:tblCellMar>
        </w:tblPrEx>
        <w:tc>
          <w:tcPr>
            <w:tcW w:w="9746" w:type="dxa"/>
            <w:tcBorders>
              <w:top w:val="none" w:sz="0" w:space="0" w:color="FFFFFF"/>
              <w:left w:val="none" w:sz="0" w:space="0" w:color="FFFFFF"/>
              <w:bottom w:val="none" w:sz="0" w:space="0" w:color="FFFFFF"/>
              <w:right w:val="none" w:sz="0" w:space="0" w:color="FFFFFF"/>
            </w:tcBorders>
            <w:shd w:val="clear" w:color="auto" w:fill="1F4E79"/>
            <w:tcMar>
              <w:top w:w="120" w:type="dxa"/>
              <w:left w:w="180" w:type="dxa"/>
              <w:bottom w:w="120" w:type="dxa"/>
              <w:right w:w="180" w:type="dxa"/>
            </w:tcMar>
          </w:tcPr>
          <w:p w14:paraId="66349FBA" w14:textId="77777777" w:rsidR="00E955A5" w:rsidRDefault="002F2019">
            <w:r>
              <w:rPr>
                <w:b/>
                <w:bCs/>
                <w:color w:val="AACCEE"/>
                <w:sz w:val="22"/>
                <w:szCs w:val="22"/>
              </w:rPr>
              <w:t xml:space="preserve">c.  </w:t>
            </w:r>
            <w:r>
              <w:rPr>
                <w:b/>
                <w:bCs/>
                <w:color w:val="FFFFFF"/>
                <w:sz w:val="22"/>
                <w:szCs w:val="22"/>
              </w:rPr>
              <w:t>Risk Assessments</w:t>
            </w:r>
          </w:p>
        </w:tc>
      </w:tr>
    </w:tbl>
    <w:p w14:paraId="41DA4E3C" w14:textId="77777777" w:rsidR="00E955A5" w:rsidRDefault="00E955A5">
      <w:pPr>
        <w:spacing w:before="120"/>
      </w:pPr>
    </w:p>
    <w:p w14:paraId="6EF82577" w14:textId="77777777" w:rsidR="00E955A5" w:rsidRDefault="002F2019">
      <w:pPr>
        <w:spacing w:before="80" w:after="80"/>
      </w:pPr>
      <w:r>
        <w:rPr>
          <w:color w:val="000000"/>
        </w:rPr>
        <w:t>Risk assessments are carried out and reviewed annually so that best practice can be established and followed. In the last 12 months, the following risk assessments were carried out or reviewed:</w:t>
      </w:r>
    </w:p>
    <w:p w14:paraId="40C245FC" w14:textId="77777777" w:rsidR="00E955A5" w:rsidRDefault="00E955A5">
      <w:pPr>
        <w:spacing w:before="80"/>
      </w:pPr>
    </w:p>
    <w:p w14:paraId="7803A2D8" w14:textId="77777777" w:rsidR="00E955A5" w:rsidRDefault="002F2019">
      <w:pPr>
        <w:pStyle w:val="ListParagraph"/>
        <w:numPr>
          <w:ilvl w:val="0"/>
          <w:numId w:val="2"/>
        </w:numPr>
        <w:spacing w:before="40" w:after="40"/>
      </w:pPr>
      <w:r>
        <w:t>General IPC risks</w:t>
      </w:r>
    </w:p>
    <w:p w14:paraId="3E8B318E" w14:textId="77777777" w:rsidR="00E955A5" w:rsidRDefault="002F2019">
      <w:pPr>
        <w:pStyle w:val="ListParagraph"/>
        <w:numPr>
          <w:ilvl w:val="0"/>
          <w:numId w:val="2"/>
        </w:numPr>
        <w:spacing w:before="40" w:after="40"/>
      </w:pPr>
      <w:r>
        <w:t>COSHH — cleaning products and chemical hazards</w:t>
      </w:r>
    </w:p>
    <w:p w14:paraId="7CF8DC70" w14:textId="77777777" w:rsidR="00E955A5" w:rsidRDefault="002F2019">
      <w:pPr>
        <w:pStyle w:val="ListParagraph"/>
        <w:numPr>
          <w:ilvl w:val="0"/>
          <w:numId w:val="2"/>
        </w:numPr>
        <w:spacing w:before="40" w:after="40"/>
      </w:pPr>
      <w:r>
        <w:t>Sharps containers — assembly, labelling, fill levels and disposal</w:t>
      </w:r>
    </w:p>
    <w:p w14:paraId="722DBC4E" w14:textId="77777777" w:rsidR="00E955A5" w:rsidRDefault="002F2019">
      <w:pPr>
        <w:pStyle w:val="ListParagraph"/>
        <w:numPr>
          <w:ilvl w:val="0"/>
          <w:numId w:val="2"/>
        </w:numPr>
        <w:spacing w:before="40" w:after="40"/>
      </w:pPr>
      <w:r>
        <w:t>Clinical waste — segregation and collection</w:t>
      </w:r>
    </w:p>
    <w:p w14:paraId="5F9DF3D8" w14:textId="77777777" w:rsidR="00E955A5" w:rsidRDefault="002F2019">
      <w:pPr>
        <w:pStyle w:val="ListParagraph"/>
        <w:numPr>
          <w:ilvl w:val="0"/>
          <w:numId w:val="2"/>
        </w:numPr>
        <w:spacing w:before="40" w:after="40"/>
      </w:pPr>
      <w:r>
        <w:t>Staff immunisations — Hepatitis B vaccination offer and uptake; MMR, seasonal flu and COVID-19 vaccinations in line with occupational health requirements</w:t>
      </w:r>
    </w:p>
    <w:p w14:paraId="49A09AE2" w14:textId="77777777" w:rsidR="00E955A5" w:rsidRDefault="002F2019">
      <w:pPr>
        <w:pStyle w:val="ListParagraph"/>
        <w:numPr>
          <w:ilvl w:val="0"/>
          <w:numId w:val="2"/>
        </w:numPr>
        <w:spacing w:before="40" w:after="40"/>
      </w:pPr>
      <w:r>
        <w:t>Privacy curtains — disposable curtains in clinical rooms reviewed; replacement schedule confirmed</w:t>
      </w:r>
    </w:p>
    <w:p w14:paraId="31629BC8" w14:textId="77777777" w:rsidR="00E955A5" w:rsidRDefault="002F2019">
      <w:pPr>
        <w:pStyle w:val="ListParagraph"/>
        <w:numPr>
          <w:ilvl w:val="0"/>
          <w:numId w:val="2"/>
        </w:numPr>
        <w:spacing w:before="40" w:after="40"/>
      </w:pPr>
      <w:r>
        <w:t>Water safety / Legionella — water safety risk assessment maintained and managed on a monthly rolling programme of interventions</w:t>
      </w:r>
    </w:p>
    <w:p w14:paraId="2EFF0CAB" w14:textId="77777777" w:rsidR="00E955A5" w:rsidRDefault="002F2019">
      <w:pPr>
        <w:pStyle w:val="ListParagraph"/>
        <w:numPr>
          <w:ilvl w:val="0"/>
          <w:numId w:val="2"/>
        </w:numPr>
        <w:spacing w:before="40" w:after="40"/>
      </w:pPr>
      <w:r>
        <w:t>Bloodborne viruses — inoculation injury and blood/body fluid exposure risk assessment reviewed</w:t>
      </w:r>
    </w:p>
    <w:p w14:paraId="0995BAC4" w14:textId="77777777" w:rsidR="00E955A5" w:rsidRDefault="002F2019">
      <w:pPr>
        <w:pStyle w:val="ListParagraph"/>
        <w:numPr>
          <w:ilvl w:val="0"/>
          <w:numId w:val="2"/>
        </w:numPr>
        <w:spacing w:before="40" w:after="40"/>
      </w:pPr>
      <w:r>
        <w:t>Patient placement — virtual and home visit pathway for infectious patients reviewed</w:t>
      </w:r>
    </w:p>
    <w:p w14:paraId="502A9EFC" w14:textId="77777777" w:rsidR="00E955A5" w:rsidRDefault="002F2019">
      <w:pPr>
        <w:pStyle w:val="ListParagraph"/>
        <w:numPr>
          <w:ilvl w:val="0"/>
          <w:numId w:val="2"/>
        </w:numPr>
        <w:spacing w:before="40" w:after="40"/>
      </w:pPr>
      <w:r>
        <w:t>Clinical hand-washing sinks — reviewed and mitigations confirmed where sinks do not yet meet the latest standards</w:t>
      </w:r>
    </w:p>
    <w:p w14:paraId="0E2202B7" w14:textId="77777777" w:rsidR="00E955A5" w:rsidRDefault="00E955A5">
      <w:pPr>
        <w:spacing w:before="120"/>
      </w:pPr>
    </w:p>
    <w:p w14:paraId="49CEDFCD" w14:textId="77777777" w:rsidR="00E955A5" w:rsidRDefault="002F2019">
      <w:pPr>
        <w:spacing w:before="80" w:after="80"/>
      </w:pPr>
      <w:r>
        <w:rPr>
          <w:color w:val="000000"/>
        </w:rPr>
        <w:t>In addition, clinical risk assessments that incorporate IPC considerations include:</w:t>
      </w:r>
    </w:p>
    <w:p w14:paraId="206C9397" w14:textId="77777777" w:rsidR="00E955A5" w:rsidRDefault="002F2019">
      <w:pPr>
        <w:pStyle w:val="ListParagraph"/>
        <w:numPr>
          <w:ilvl w:val="0"/>
          <w:numId w:val="2"/>
        </w:numPr>
        <w:spacing w:before="40" w:after="40"/>
      </w:pPr>
      <w:r>
        <w:t>Home visit and offsite clinic risk assessments</w:t>
      </w:r>
    </w:p>
    <w:p w14:paraId="0066D2B7" w14:textId="77777777" w:rsidR="00E955A5" w:rsidRDefault="002F2019">
      <w:pPr>
        <w:pStyle w:val="ListParagraph"/>
        <w:numPr>
          <w:ilvl w:val="0"/>
          <w:numId w:val="2"/>
        </w:numPr>
        <w:spacing w:before="40" w:after="40"/>
      </w:pPr>
      <w:r>
        <w:t>New starter and contractor risk assessments (including IPC induction requirements)</w:t>
      </w:r>
    </w:p>
    <w:p w14:paraId="03AE5535" w14:textId="77777777" w:rsidR="00E955A5" w:rsidRDefault="00E955A5">
      <w:pPr>
        <w:spacing w:before="20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E955A5" w14:paraId="029A19E6" w14:textId="77777777">
        <w:tblPrEx>
          <w:tblCellMar>
            <w:top w:w="0" w:type="dxa"/>
            <w:bottom w:w="0" w:type="dxa"/>
          </w:tblCellMar>
        </w:tblPrEx>
        <w:tc>
          <w:tcPr>
            <w:tcW w:w="9746" w:type="dxa"/>
            <w:tcBorders>
              <w:top w:val="none" w:sz="0" w:space="0" w:color="FFFFFF"/>
              <w:left w:val="none" w:sz="0" w:space="0" w:color="FFFFFF"/>
              <w:bottom w:val="none" w:sz="0" w:space="0" w:color="FFFFFF"/>
              <w:right w:val="none" w:sz="0" w:space="0" w:color="FFFFFF"/>
            </w:tcBorders>
            <w:shd w:val="clear" w:color="auto" w:fill="1F4E79"/>
            <w:tcMar>
              <w:top w:w="120" w:type="dxa"/>
              <w:left w:w="180" w:type="dxa"/>
              <w:bottom w:w="120" w:type="dxa"/>
              <w:right w:w="180" w:type="dxa"/>
            </w:tcMar>
          </w:tcPr>
          <w:p w14:paraId="52077180" w14:textId="77777777" w:rsidR="00E955A5" w:rsidRDefault="002F2019">
            <w:r>
              <w:rPr>
                <w:b/>
                <w:bCs/>
                <w:color w:val="AACCEE"/>
                <w:sz w:val="22"/>
                <w:szCs w:val="22"/>
              </w:rPr>
              <w:t xml:space="preserve">d.  </w:t>
            </w:r>
            <w:r>
              <w:rPr>
                <w:b/>
                <w:bCs/>
                <w:color w:val="FFFFFF"/>
                <w:sz w:val="22"/>
                <w:szCs w:val="22"/>
              </w:rPr>
              <w:t>Staff Training</w:t>
            </w:r>
          </w:p>
        </w:tc>
      </w:tr>
    </w:tbl>
    <w:p w14:paraId="5335B6FE" w14:textId="77777777" w:rsidR="002F2019" w:rsidRDefault="002F2019">
      <w:pPr>
        <w:spacing w:before="80" w:after="80"/>
        <w:rPr>
          <w:color w:val="000000"/>
        </w:rPr>
      </w:pPr>
    </w:p>
    <w:p w14:paraId="50DBFD75" w14:textId="7B077494" w:rsidR="002F2019" w:rsidRDefault="002F2019">
      <w:pPr>
        <w:spacing w:before="80" w:after="80"/>
      </w:pPr>
      <w:r w:rsidRPr="002F2019">
        <w:t>All our staff receive mandatory annual training in IPC via online learning on Practice Index as well as any relevant updates at nurse meetings. All training is logged on personnel files and I</w:t>
      </w:r>
      <w:r>
        <w:t>PC</w:t>
      </w:r>
      <w:r w:rsidRPr="002F2019">
        <w:t xml:space="preserve"> is part of all new staff inductions. Hand Hygiene training carried out </w:t>
      </w:r>
      <w:r>
        <w:t xml:space="preserve">in </w:t>
      </w:r>
      <w:r w:rsidRPr="002F2019">
        <w:t xml:space="preserve">April 2025 by staff watching </w:t>
      </w:r>
      <w:r>
        <w:t xml:space="preserve">being observed by our IPC Lead </w:t>
      </w:r>
      <w:r w:rsidRPr="002F2019">
        <w:t xml:space="preserve">Practice nurse. Audits carried out annually by our Lead IPC Nurses during </w:t>
      </w:r>
      <w:r>
        <w:t xml:space="preserve">Jan to March 2026. </w:t>
      </w:r>
    </w:p>
    <w:p w14:paraId="495DB831" w14:textId="77777777" w:rsidR="00E955A5" w:rsidRDefault="00E955A5">
      <w:pPr>
        <w:spacing w:before="20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E955A5" w14:paraId="02C19AAE" w14:textId="77777777">
        <w:tblPrEx>
          <w:tblCellMar>
            <w:top w:w="0" w:type="dxa"/>
            <w:bottom w:w="0" w:type="dxa"/>
          </w:tblCellMar>
        </w:tblPrEx>
        <w:tc>
          <w:tcPr>
            <w:tcW w:w="9746" w:type="dxa"/>
            <w:tcBorders>
              <w:top w:val="none" w:sz="0" w:space="0" w:color="FFFFFF"/>
              <w:left w:val="none" w:sz="0" w:space="0" w:color="FFFFFF"/>
              <w:bottom w:val="none" w:sz="0" w:space="0" w:color="FFFFFF"/>
              <w:right w:val="none" w:sz="0" w:space="0" w:color="FFFFFF"/>
            </w:tcBorders>
            <w:shd w:val="clear" w:color="auto" w:fill="1F4E79"/>
            <w:tcMar>
              <w:top w:w="120" w:type="dxa"/>
              <w:left w:w="180" w:type="dxa"/>
              <w:bottom w:w="120" w:type="dxa"/>
              <w:right w:w="180" w:type="dxa"/>
            </w:tcMar>
          </w:tcPr>
          <w:p w14:paraId="2B700020" w14:textId="77777777" w:rsidR="00E955A5" w:rsidRDefault="002F2019">
            <w:r>
              <w:rPr>
                <w:b/>
                <w:bCs/>
                <w:color w:val="AACCEE"/>
                <w:sz w:val="22"/>
                <w:szCs w:val="22"/>
              </w:rPr>
              <w:t xml:space="preserve">e.  </w:t>
            </w:r>
            <w:r>
              <w:rPr>
                <w:b/>
                <w:bCs/>
                <w:color w:val="FFFFFF"/>
                <w:sz w:val="22"/>
                <w:szCs w:val="22"/>
              </w:rPr>
              <w:t>IPC Policies and Procedures</w:t>
            </w:r>
          </w:p>
        </w:tc>
      </w:tr>
    </w:tbl>
    <w:p w14:paraId="5857AA86" w14:textId="77777777" w:rsidR="00E955A5" w:rsidRDefault="00E955A5">
      <w:pPr>
        <w:spacing w:before="120"/>
      </w:pPr>
    </w:p>
    <w:p w14:paraId="3635C20E" w14:textId="7488C634" w:rsidR="00E955A5" w:rsidRDefault="002F2019">
      <w:pPr>
        <w:spacing w:before="80" w:after="80"/>
      </w:pPr>
      <w:r>
        <w:rPr>
          <w:color w:val="000000"/>
        </w:rPr>
        <w:t>All infection prevention and control-related policies are in date and are accessible to all staff. Policies are reviewed and updated annually and</w:t>
      </w:r>
      <w:r>
        <w:rPr>
          <w:color w:val="000000"/>
        </w:rPr>
        <w:t xml:space="preserve"> amended on an ongoing basis in line with current advice, guidance, and legislation. The following IPC-related policies and procedures were written, updated or reviewed during this reporting period:</w:t>
      </w:r>
    </w:p>
    <w:p w14:paraId="476268BB" w14:textId="77777777" w:rsidR="00E955A5" w:rsidRDefault="00E955A5">
      <w:pPr>
        <w:spacing w:before="80"/>
      </w:pPr>
    </w:p>
    <w:p w14:paraId="25589904" w14:textId="77777777" w:rsidR="00E955A5" w:rsidRDefault="002F2019">
      <w:pPr>
        <w:pStyle w:val="ListParagraph"/>
        <w:numPr>
          <w:ilvl w:val="0"/>
          <w:numId w:val="2"/>
        </w:numPr>
        <w:spacing w:before="40" w:after="40"/>
      </w:pPr>
      <w:r>
        <w:t>IPC Handbook v1.8 — adopted March 2026</w:t>
      </w:r>
    </w:p>
    <w:p w14:paraId="52F2E214" w14:textId="04A41913" w:rsidR="00E955A5" w:rsidRDefault="002F2019">
      <w:pPr>
        <w:pStyle w:val="ListParagraph"/>
        <w:numPr>
          <w:ilvl w:val="0"/>
          <w:numId w:val="2"/>
        </w:numPr>
        <w:spacing w:before="40" w:after="40"/>
      </w:pPr>
      <w:r>
        <w:t xml:space="preserve">IPC Standard Operating Procedure (SOP) </w:t>
      </w:r>
      <w:r>
        <w:t>— issued March 2026</w:t>
      </w:r>
    </w:p>
    <w:p w14:paraId="4AD7F8E0" w14:textId="2F26AB4F" w:rsidR="00E955A5" w:rsidRDefault="002F2019">
      <w:pPr>
        <w:pStyle w:val="ListParagraph"/>
        <w:numPr>
          <w:ilvl w:val="0"/>
          <w:numId w:val="2"/>
        </w:numPr>
        <w:spacing w:before="40" w:after="40"/>
      </w:pPr>
      <w:r>
        <w:t xml:space="preserve">IPC Forms, Checklists and Resource Pack </w:t>
      </w:r>
      <w:r>
        <w:t>— issued March 2026</w:t>
      </w:r>
    </w:p>
    <w:p w14:paraId="0A5D1EF2" w14:textId="77777777" w:rsidR="002F2019" w:rsidRDefault="002F2019" w:rsidP="002F2019">
      <w:pPr>
        <w:pStyle w:val="ListParagraph"/>
        <w:spacing w:before="40" w:after="40"/>
        <w:ind w:left="72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E955A5" w14:paraId="046D9178" w14:textId="77777777">
        <w:tblPrEx>
          <w:tblCellMar>
            <w:top w:w="0" w:type="dxa"/>
            <w:bottom w:w="0" w:type="dxa"/>
          </w:tblCellMar>
        </w:tblPrEx>
        <w:tc>
          <w:tcPr>
            <w:tcW w:w="9746" w:type="dxa"/>
            <w:tcBorders>
              <w:top w:val="none" w:sz="0" w:space="0" w:color="FFFFFF"/>
              <w:left w:val="none" w:sz="0" w:space="0" w:color="FFFFFF"/>
              <w:bottom w:val="none" w:sz="0" w:space="0" w:color="FFFFFF"/>
              <w:right w:val="none" w:sz="0" w:space="0" w:color="FFFFFF"/>
            </w:tcBorders>
            <w:shd w:val="clear" w:color="auto" w:fill="1F4E79"/>
            <w:tcMar>
              <w:top w:w="120" w:type="dxa"/>
              <w:left w:w="180" w:type="dxa"/>
              <w:bottom w:w="120" w:type="dxa"/>
              <w:right w:w="180" w:type="dxa"/>
            </w:tcMar>
          </w:tcPr>
          <w:p w14:paraId="524D8ED6" w14:textId="77777777" w:rsidR="00E955A5" w:rsidRDefault="002F2019">
            <w:r>
              <w:rPr>
                <w:b/>
                <w:bCs/>
                <w:color w:val="AACCEE"/>
                <w:sz w:val="22"/>
                <w:szCs w:val="22"/>
              </w:rPr>
              <w:t>f</w:t>
            </w:r>
            <w:r>
              <w:rPr>
                <w:b/>
                <w:bCs/>
                <w:color w:val="AACCEE"/>
                <w:sz w:val="22"/>
                <w:szCs w:val="22"/>
              </w:rPr>
              <w:t xml:space="preserve">.  </w:t>
            </w:r>
            <w:r>
              <w:rPr>
                <w:b/>
                <w:bCs/>
                <w:color w:val="FFFFFF"/>
                <w:sz w:val="22"/>
                <w:szCs w:val="22"/>
              </w:rPr>
              <w:t>Antimicrobial Prescribing and Stewardship</w:t>
            </w:r>
          </w:p>
        </w:tc>
      </w:tr>
    </w:tbl>
    <w:p w14:paraId="7A726761" w14:textId="77777777" w:rsidR="00E955A5" w:rsidRDefault="00E955A5">
      <w:pPr>
        <w:spacing w:before="120"/>
      </w:pPr>
    </w:p>
    <w:p w14:paraId="11F4FCB0" w14:textId="77777777" w:rsidR="00E955A5" w:rsidRDefault="002F2019">
      <w:pPr>
        <w:spacing w:before="80" w:after="80"/>
      </w:pPr>
      <w:r>
        <w:rPr>
          <w:color w:val="000000"/>
        </w:rPr>
        <w:t>The practice is committed to antimicrobial stewardship. All prescribers are advised to prescribe in accordance with Greater Manchester Medicines Management Group (GMMMG) antimicrobial guidelines and local UKHSA guidance. The prescribing lead works with the pharmacy team to monitor antibiotic prescribing rates and identify opportunities for improvement.</w:t>
      </w:r>
    </w:p>
    <w:p w14:paraId="5904D4B2" w14:textId="77777777" w:rsidR="00E955A5" w:rsidRDefault="00E955A5">
      <w:pPr>
        <w:spacing w:before="20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E955A5" w14:paraId="77C8275E" w14:textId="77777777">
        <w:tblPrEx>
          <w:tblCellMar>
            <w:top w:w="0" w:type="dxa"/>
            <w:bottom w:w="0" w:type="dxa"/>
          </w:tblCellMar>
        </w:tblPrEx>
        <w:tc>
          <w:tcPr>
            <w:tcW w:w="9746" w:type="dxa"/>
            <w:tcBorders>
              <w:top w:val="none" w:sz="0" w:space="0" w:color="FFFFFF"/>
              <w:left w:val="none" w:sz="0" w:space="0" w:color="FFFFFF"/>
              <w:bottom w:val="none" w:sz="0" w:space="0" w:color="FFFFFF"/>
              <w:right w:val="none" w:sz="0" w:space="0" w:color="FFFFFF"/>
            </w:tcBorders>
            <w:shd w:val="clear" w:color="auto" w:fill="1F4E79"/>
            <w:tcMar>
              <w:top w:w="120" w:type="dxa"/>
              <w:left w:w="180" w:type="dxa"/>
              <w:bottom w:w="120" w:type="dxa"/>
              <w:right w:w="180" w:type="dxa"/>
            </w:tcMar>
          </w:tcPr>
          <w:p w14:paraId="29608B2E" w14:textId="77777777" w:rsidR="00E955A5" w:rsidRDefault="002F2019">
            <w:r>
              <w:rPr>
                <w:b/>
                <w:bCs/>
                <w:color w:val="AACCEE"/>
                <w:sz w:val="22"/>
                <w:szCs w:val="22"/>
              </w:rPr>
              <w:t xml:space="preserve">g.  </w:t>
            </w:r>
            <w:r>
              <w:rPr>
                <w:b/>
                <w:bCs/>
                <w:color w:val="FFFFFF"/>
                <w:sz w:val="22"/>
                <w:szCs w:val="22"/>
              </w:rPr>
              <w:t>Quality Improvement Plan — 2026/27</w:t>
            </w:r>
          </w:p>
        </w:tc>
      </w:tr>
    </w:tbl>
    <w:p w14:paraId="549B422D" w14:textId="77777777" w:rsidR="00E955A5" w:rsidRDefault="00E955A5">
      <w:pPr>
        <w:spacing w:before="120"/>
      </w:pPr>
    </w:p>
    <w:p w14:paraId="63468A18" w14:textId="77777777" w:rsidR="00E955A5" w:rsidRDefault="002F2019">
      <w:pPr>
        <w:spacing w:before="80" w:after="80"/>
      </w:pPr>
      <w:r>
        <w:rPr>
          <w:color w:val="000000"/>
        </w:rPr>
        <w:t>The following quality improvement actions have been identified for the coming year and will be monitored by the IPC Lead at practice meetings:</w:t>
      </w:r>
    </w:p>
    <w:p w14:paraId="5F485505" w14:textId="77777777" w:rsidR="00E955A5" w:rsidRDefault="00E955A5">
      <w:pPr>
        <w:spacing w:before="20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E955A5" w14:paraId="178E973B" w14:textId="77777777">
        <w:tblPrEx>
          <w:tblCellMar>
            <w:top w:w="0" w:type="dxa"/>
            <w:bottom w:w="0" w:type="dxa"/>
          </w:tblCellMar>
        </w:tblPrEx>
        <w:tc>
          <w:tcPr>
            <w:tcW w:w="9746" w:type="dxa"/>
            <w:tcBorders>
              <w:top w:val="none" w:sz="0" w:space="0" w:color="FFFFFF"/>
              <w:left w:val="none" w:sz="0" w:space="0" w:color="FFFFFF"/>
              <w:bottom w:val="none" w:sz="0" w:space="0" w:color="FFFFFF"/>
              <w:right w:val="none" w:sz="0" w:space="0" w:color="FFFFFF"/>
            </w:tcBorders>
            <w:shd w:val="clear" w:color="auto" w:fill="1F4E79"/>
            <w:tcMar>
              <w:top w:w="120" w:type="dxa"/>
              <w:left w:w="180" w:type="dxa"/>
              <w:bottom w:w="120" w:type="dxa"/>
              <w:right w:w="180" w:type="dxa"/>
            </w:tcMar>
          </w:tcPr>
          <w:p w14:paraId="74F2896A" w14:textId="77777777" w:rsidR="00E955A5" w:rsidRDefault="002F2019">
            <w:r>
              <w:rPr>
                <w:b/>
                <w:bCs/>
                <w:color w:val="AACCEE"/>
                <w:sz w:val="22"/>
                <w:szCs w:val="22"/>
              </w:rPr>
              <w:t xml:space="preserve">h.  </w:t>
            </w:r>
            <w:r>
              <w:rPr>
                <w:b/>
                <w:bCs/>
                <w:color w:val="FFFFFF"/>
                <w:sz w:val="22"/>
                <w:szCs w:val="22"/>
              </w:rPr>
              <w:t>Responsibility and Review</w:t>
            </w:r>
          </w:p>
        </w:tc>
      </w:tr>
    </w:tbl>
    <w:p w14:paraId="544C5F51" w14:textId="77777777" w:rsidR="00E955A5" w:rsidRDefault="00E955A5">
      <w:pPr>
        <w:spacing w:before="120"/>
      </w:pPr>
    </w:p>
    <w:p w14:paraId="10F178B3" w14:textId="77777777" w:rsidR="00E955A5" w:rsidRDefault="002F2019">
      <w:pPr>
        <w:spacing w:before="80" w:after="80"/>
      </w:pPr>
      <w:r>
        <w:rPr>
          <w:color w:val="000000"/>
        </w:rPr>
        <w:t>It is the responsibility of all staff at Barlow Medical Centre to be familiar with this statement and their roles and responsibilities within it.</w:t>
      </w:r>
    </w:p>
    <w:p w14:paraId="1AB02F71" w14:textId="77777777" w:rsidR="00E955A5" w:rsidRDefault="00E955A5">
      <w:pPr>
        <w:spacing w:before="80"/>
      </w:pPr>
    </w:p>
    <w:p w14:paraId="7418AF4E" w14:textId="77777777" w:rsidR="00E955A5" w:rsidRDefault="002F2019">
      <w:pPr>
        <w:spacing w:before="80" w:after="80"/>
      </w:pPr>
      <w:r>
        <w:rPr>
          <w:color w:val="000000"/>
        </w:rPr>
        <w:t>This annual statement is produced by Sister Nicola Morgan (IPC Lead) in conjunction with Jacqueline Stewart-Martin (Practice Manager) in accordance with Criterion 1 of the Health and Social Care Act 2008 Code of Practice on the Prevention and Control of Infections. It is updated on or before May each year and published on the Barlow Medical Centre website.</w:t>
      </w:r>
    </w:p>
    <w:p w14:paraId="720A3872" w14:textId="77777777" w:rsidR="00E955A5" w:rsidRDefault="00E955A5">
      <w:pPr>
        <w:spacing w:before="80"/>
      </w:pPr>
    </w:p>
    <w:p w14:paraId="0D246A06" w14:textId="77777777" w:rsidR="00E955A5" w:rsidRDefault="002F2019">
      <w:pPr>
        <w:spacing w:before="80" w:after="80"/>
      </w:pPr>
      <w:r>
        <w:rPr>
          <w:color w:val="000000"/>
        </w:rPr>
        <w:t>If you have any concerns, questions or queries regarding infection prevention and control at Barlow Medical Centre, please contact Sister Nicola Morgan (IPC Lead) in the first instance.</w:t>
      </w:r>
    </w:p>
    <w:p w14:paraId="49041E5A" w14:textId="77777777" w:rsidR="00E955A5" w:rsidRDefault="00E955A5">
      <w:pPr>
        <w:spacing w:before="160"/>
      </w:pPr>
    </w:p>
    <w:tbl>
      <w:tblPr>
        <w:tblW w:w="6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506"/>
      </w:tblGrid>
      <w:tr w:rsidR="002F2019" w14:paraId="5B6DC423" w14:textId="77777777" w:rsidTr="002F2019">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00" w:type="dxa"/>
              <w:bottom w:w="80" w:type="dxa"/>
              <w:right w:w="100" w:type="dxa"/>
            </w:tcMar>
          </w:tcPr>
          <w:p w14:paraId="1EB82FD9" w14:textId="32FAB856" w:rsidR="002F2019" w:rsidRDefault="002F2019">
            <w:r>
              <w:rPr>
                <w:b/>
                <w:bCs/>
                <w:sz w:val="18"/>
                <w:szCs w:val="18"/>
              </w:rPr>
              <w:t>Name</w:t>
            </w:r>
          </w:p>
        </w:tc>
        <w:tc>
          <w:tcPr>
            <w:tcW w:w="350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00" w:type="dxa"/>
              <w:bottom w:w="80" w:type="dxa"/>
              <w:right w:w="100" w:type="dxa"/>
            </w:tcMar>
          </w:tcPr>
          <w:p w14:paraId="1B104D2F" w14:textId="77777777" w:rsidR="002F2019" w:rsidRDefault="002F2019">
            <w:r>
              <w:rPr>
                <w:b/>
                <w:bCs/>
                <w:sz w:val="18"/>
                <w:szCs w:val="18"/>
              </w:rPr>
              <w:t>Date</w:t>
            </w:r>
          </w:p>
        </w:tc>
      </w:tr>
      <w:tr w:rsidR="002F2019" w14:paraId="336E39CE" w14:textId="77777777" w:rsidTr="002F2019">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00" w:type="dxa"/>
              <w:bottom w:w="120" w:type="dxa"/>
              <w:right w:w="100" w:type="dxa"/>
            </w:tcMar>
          </w:tcPr>
          <w:p w14:paraId="30E54137" w14:textId="29E58EC9" w:rsidR="002F2019" w:rsidRDefault="002F2019">
            <w:r>
              <w:rPr>
                <w:sz w:val="18"/>
                <w:szCs w:val="18"/>
              </w:rPr>
              <w:t xml:space="preserve">Sister Nicola Morgan – Infection Control Lead </w:t>
            </w:r>
          </w:p>
        </w:tc>
        <w:tc>
          <w:tcPr>
            <w:tcW w:w="3506"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00" w:type="dxa"/>
              <w:bottom w:w="120" w:type="dxa"/>
              <w:right w:w="100" w:type="dxa"/>
            </w:tcMar>
          </w:tcPr>
          <w:p w14:paraId="66039B6B" w14:textId="7FF34714" w:rsidR="002F2019" w:rsidRDefault="002F2019">
            <w:r>
              <w:t>April 2026</w:t>
            </w:r>
          </w:p>
        </w:tc>
      </w:tr>
      <w:tr w:rsidR="002F2019" w14:paraId="59C369EC" w14:textId="77777777" w:rsidTr="002F2019">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00" w:type="dxa"/>
              <w:bottom w:w="120" w:type="dxa"/>
              <w:right w:w="100" w:type="dxa"/>
            </w:tcMar>
          </w:tcPr>
          <w:p w14:paraId="0248D3B4" w14:textId="7162BAA8" w:rsidR="002F2019" w:rsidRDefault="002F2019">
            <w:r>
              <w:rPr>
                <w:sz w:val="18"/>
                <w:szCs w:val="18"/>
              </w:rPr>
              <w:t xml:space="preserve">Jacqueline Stewart-Martin – Practice Manager </w:t>
            </w:r>
          </w:p>
        </w:tc>
        <w:tc>
          <w:tcPr>
            <w:tcW w:w="3506" w:type="dxa"/>
            <w:tcBorders>
              <w:top w:val="single" w:sz="1" w:space="0" w:color="CCCCCC"/>
              <w:left w:val="single" w:sz="1" w:space="0" w:color="CCCCCC"/>
              <w:bottom w:val="single" w:sz="1" w:space="0" w:color="CCCCCC"/>
              <w:right w:val="single" w:sz="1" w:space="0" w:color="CCCCCC"/>
            </w:tcBorders>
            <w:shd w:val="clear" w:color="auto" w:fill="FFFFFF"/>
            <w:tcMar>
              <w:top w:w="120" w:type="dxa"/>
              <w:left w:w="100" w:type="dxa"/>
              <w:bottom w:w="120" w:type="dxa"/>
              <w:right w:w="100" w:type="dxa"/>
            </w:tcMar>
          </w:tcPr>
          <w:p w14:paraId="3EEE5F1B" w14:textId="048067FB" w:rsidR="002F2019" w:rsidRDefault="002F2019">
            <w:r>
              <w:t>April 2026</w:t>
            </w:r>
          </w:p>
        </w:tc>
      </w:tr>
    </w:tbl>
    <w:p w14:paraId="38C36EC8" w14:textId="77777777" w:rsidR="00E955A5" w:rsidRDefault="00E955A5">
      <w:pPr>
        <w:spacing w:before="80"/>
      </w:pPr>
    </w:p>
    <w:p w14:paraId="1504F1F7" w14:textId="77777777" w:rsidR="002F2019" w:rsidRDefault="002F2019"/>
    <w:sectPr w:rsidR="00000000">
      <w:headerReference w:type="default" r:id="rId7"/>
      <w:footerReference w:type="default" r:id="rId8"/>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12306" w14:textId="77777777" w:rsidR="002F2019" w:rsidRDefault="002F2019">
      <w:r>
        <w:separator/>
      </w:r>
    </w:p>
  </w:endnote>
  <w:endnote w:type="continuationSeparator" w:id="0">
    <w:p w14:paraId="05CF9A9B" w14:textId="77777777" w:rsidR="002F2019" w:rsidRDefault="002F2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A8AF" w14:textId="77777777" w:rsidR="00E955A5" w:rsidRDefault="002F2019">
    <w:pPr>
      <w:pBdr>
        <w:top w:val="single" w:sz="4" w:space="4" w:color="CCCCCC"/>
      </w:pBdr>
      <w:spacing w:before="80"/>
    </w:pPr>
    <w:r>
      <w:rPr>
        <w:color w:val="999999"/>
        <w:sz w:val="16"/>
        <w:szCs w:val="16"/>
      </w:rPr>
      <w:t xml:space="preserve">CONFIDENTIAL — FOR INTERNAL USE </w:t>
    </w:r>
    <w:proofErr w:type="gramStart"/>
    <w:r>
      <w:rPr>
        <w:color w:val="999999"/>
        <w:sz w:val="16"/>
        <w:szCs w:val="16"/>
      </w:rPr>
      <w:t>ONLY  |</w:t>
    </w:r>
    <w:proofErr w:type="gramEnd"/>
    <w:r>
      <w:rPr>
        <w:color w:val="999999"/>
        <w:sz w:val="16"/>
        <w:szCs w:val="16"/>
      </w:rPr>
      <w:t xml:space="preserve">  Barlow Medical Centre IPC Statement 2025–2026  |  Next review: May 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7AFF1" w14:textId="77777777" w:rsidR="002F2019" w:rsidRDefault="002F2019">
      <w:r>
        <w:separator/>
      </w:r>
    </w:p>
  </w:footnote>
  <w:footnote w:type="continuationSeparator" w:id="0">
    <w:p w14:paraId="2A0EE396" w14:textId="77777777" w:rsidR="002F2019" w:rsidRDefault="002F2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75A70" w14:textId="77777777" w:rsidR="00E955A5" w:rsidRDefault="00E955A5">
    <w:pPr>
      <w:pBdr>
        <w:bottom w:val="single" w:sz="6" w:space="1" w:color="2E75B6"/>
      </w:pBdr>
      <w:spacing w:before="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D2AB2"/>
    <w:multiLevelType w:val="hybridMultilevel"/>
    <w:tmpl w:val="55E23736"/>
    <w:lvl w:ilvl="0" w:tplc="8D64C264">
      <w:start w:val="1"/>
      <w:numFmt w:val="bullet"/>
      <w:lvlText w:val="●"/>
      <w:lvlJc w:val="left"/>
      <w:pPr>
        <w:ind w:left="720" w:hanging="360"/>
      </w:pPr>
    </w:lvl>
    <w:lvl w:ilvl="1" w:tplc="E87A0FEE">
      <w:start w:val="1"/>
      <w:numFmt w:val="bullet"/>
      <w:lvlText w:val="○"/>
      <w:lvlJc w:val="left"/>
      <w:pPr>
        <w:ind w:left="1440" w:hanging="360"/>
      </w:pPr>
    </w:lvl>
    <w:lvl w:ilvl="2" w:tplc="6D34CB92">
      <w:start w:val="1"/>
      <w:numFmt w:val="bullet"/>
      <w:lvlText w:val="■"/>
      <w:lvlJc w:val="left"/>
      <w:pPr>
        <w:ind w:left="2160" w:hanging="360"/>
      </w:pPr>
    </w:lvl>
    <w:lvl w:ilvl="3" w:tplc="5EC2BB28">
      <w:start w:val="1"/>
      <w:numFmt w:val="bullet"/>
      <w:lvlText w:val="●"/>
      <w:lvlJc w:val="left"/>
      <w:pPr>
        <w:ind w:left="2880" w:hanging="360"/>
      </w:pPr>
    </w:lvl>
    <w:lvl w:ilvl="4" w:tplc="7CA0780C">
      <w:start w:val="1"/>
      <w:numFmt w:val="bullet"/>
      <w:lvlText w:val="○"/>
      <w:lvlJc w:val="left"/>
      <w:pPr>
        <w:ind w:left="3600" w:hanging="360"/>
      </w:pPr>
    </w:lvl>
    <w:lvl w:ilvl="5" w:tplc="E3AE181E">
      <w:start w:val="1"/>
      <w:numFmt w:val="bullet"/>
      <w:lvlText w:val="■"/>
      <w:lvlJc w:val="left"/>
      <w:pPr>
        <w:ind w:left="4320" w:hanging="360"/>
      </w:pPr>
    </w:lvl>
    <w:lvl w:ilvl="6" w:tplc="AEEE8CF4">
      <w:start w:val="1"/>
      <w:numFmt w:val="bullet"/>
      <w:lvlText w:val="●"/>
      <w:lvlJc w:val="left"/>
      <w:pPr>
        <w:ind w:left="5040" w:hanging="360"/>
      </w:pPr>
    </w:lvl>
    <w:lvl w:ilvl="7" w:tplc="049055C2">
      <w:start w:val="1"/>
      <w:numFmt w:val="bullet"/>
      <w:lvlText w:val="●"/>
      <w:lvlJc w:val="left"/>
      <w:pPr>
        <w:ind w:left="5760" w:hanging="360"/>
      </w:pPr>
    </w:lvl>
    <w:lvl w:ilvl="8" w:tplc="5B786E12">
      <w:start w:val="1"/>
      <w:numFmt w:val="bullet"/>
      <w:lvlText w:val="●"/>
      <w:lvlJc w:val="left"/>
      <w:pPr>
        <w:ind w:left="6480" w:hanging="360"/>
      </w:pPr>
    </w:lvl>
  </w:abstractNum>
  <w:abstractNum w:abstractNumId="1" w15:restartNumberingAfterBreak="0">
    <w:nsid w:val="3FA8603E"/>
    <w:multiLevelType w:val="hybridMultilevel"/>
    <w:tmpl w:val="E18448F4"/>
    <w:lvl w:ilvl="0" w:tplc="0EC6291A">
      <w:start w:val="1"/>
      <w:numFmt w:val="bullet"/>
      <w:lvlText w:val="•"/>
      <w:lvlJc w:val="left"/>
      <w:pPr>
        <w:ind w:left="720" w:hanging="360"/>
      </w:pPr>
    </w:lvl>
    <w:lvl w:ilvl="1" w:tplc="21647DDC">
      <w:start w:val="1"/>
      <w:numFmt w:val="bullet"/>
      <w:lvlText w:val="◦"/>
      <w:lvlJc w:val="left"/>
      <w:pPr>
        <w:ind w:left="1080" w:hanging="360"/>
      </w:pPr>
    </w:lvl>
    <w:lvl w:ilvl="2" w:tplc="E4D2F336">
      <w:numFmt w:val="decimal"/>
      <w:lvlText w:val=""/>
      <w:lvlJc w:val="left"/>
    </w:lvl>
    <w:lvl w:ilvl="3" w:tplc="10804FE0">
      <w:numFmt w:val="decimal"/>
      <w:lvlText w:val=""/>
      <w:lvlJc w:val="left"/>
    </w:lvl>
    <w:lvl w:ilvl="4" w:tplc="BA22188C">
      <w:numFmt w:val="decimal"/>
      <w:lvlText w:val=""/>
      <w:lvlJc w:val="left"/>
    </w:lvl>
    <w:lvl w:ilvl="5" w:tplc="1464AF28">
      <w:numFmt w:val="decimal"/>
      <w:lvlText w:val=""/>
      <w:lvlJc w:val="left"/>
    </w:lvl>
    <w:lvl w:ilvl="6" w:tplc="0CF8C3F2">
      <w:numFmt w:val="decimal"/>
      <w:lvlText w:val=""/>
      <w:lvlJc w:val="left"/>
    </w:lvl>
    <w:lvl w:ilvl="7" w:tplc="B8F6520C">
      <w:numFmt w:val="decimal"/>
      <w:lvlText w:val=""/>
      <w:lvlJc w:val="left"/>
    </w:lvl>
    <w:lvl w:ilvl="8" w:tplc="0ACCAEA4">
      <w:numFmt w:val="decimal"/>
      <w:lvlText w:val=""/>
      <w:lvlJc w:val="left"/>
    </w:lvl>
  </w:abstractNum>
  <w:num w:numId="1" w16cid:durableId="1629781796">
    <w:abstractNumId w:val="0"/>
    <w:lvlOverride w:ilvl="0">
      <w:startOverride w:val="1"/>
    </w:lvlOverride>
  </w:num>
  <w:num w:numId="2" w16cid:durableId="71823801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5A5"/>
    <w:rsid w:val="002F2019"/>
    <w:rsid w:val="008D2DAC"/>
    <w:rsid w:val="00E955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FECE0"/>
  <w15:docId w15:val="{70D2A0BC-F8C4-4ED0-B2C6-145290F5E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6" w:space="4" w:color="2E75B6"/>
      </w:pBdr>
      <w:spacing w:before="320" w:after="160"/>
      <w:outlineLvl w:val="0"/>
    </w:pPr>
    <w:rPr>
      <w:b/>
      <w:bCs/>
      <w:color w:val="1F4E79"/>
      <w:sz w:val="30"/>
      <w:szCs w:val="30"/>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2F2019"/>
    <w:pPr>
      <w:tabs>
        <w:tab w:val="center" w:pos="4513"/>
        <w:tab w:val="right" w:pos="9026"/>
      </w:tabs>
    </w:pPr>
  </w:style>
  <w:style w:type="character" w:customStyle="1" w:styleId="HeaderChar">
    <w:name w:val="Header Char"/>
    <w:basedOn w:val="DefaultParagraphFont"/>
    <w:link w:val="Header"/>
    <w:uiPriority w:val="99"/>
    <w:rsid w:val="002F2019"/>
  </w:style>
  <w:style w:type="paragraph" w:styleId="Footer">
    <w:name w:val="footer"/>
    <w:basedOn w:val="Normal"/>
    <w:link w:val="FooterChar"/>
    <w:uiPriority w:val="99"/>
    <w:unhideWhenUsed/>
    <w:rsid w:val="002F2019"/>
    <w:pPr>
      <w:tabs>
        <w:tab w:val="center" w:pos="4513"/>
        <w:tab w:val="right" w:pos="9026"/>
      </w:tabs>
    </w:pPr>
  </w:style>
  <w:style w:type="character" w:customStyle="1" w:styleId="FooterChar">
    <w:name w:val="Footer Char"/>
    <w:basedOn w:val="DefaultParagraphFont"/>
    <w:link w:val="Footer"/>
    <w:uiPriority w:val="99"/>
    <w:rsid w:val="002F2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954</Words>
  <Characters>5444</Characters>
  <Application>Microsoft Office Word</Application>
  <DocSecurity>0</DocSecurity>
  <Lines>45</Lines>
  <Paragraphs>12</Paragraphs>
  <ScaleCrop>false</ScaleCrop>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STEWART-MARTIN, Jacqueline (BARLOW MEDICAL CENTRE)</cp:lastModifiedBy>
  <cp:revision>2</cp:revision>
  <dcterms:created xsi:type="dcterms:W3CDTF">2026-04-30T15:30:00Z</dcterms:created>
  <dcterms:modified xsi:type="dcterms:W3CDTF">2026-04-30T15:30:00Z</dcterms:modified>
</cp:coreProperties>
</file>